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Content of Rfp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RfP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 xml:space="preserve">engineering degree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discipline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Although TSPs are obligated to provide all the project documents as per Guidelines issued by MoP dated 10.08.2021, TSPs are reluctant to provide project documents with IE. CTUIL shall ensure timely submission of project documents by TSP to IE without any need of signing any NDA in case such NDA is not the part of RfP.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provision</w:t>
            </w:r>
            <w:r w:rsidR="00E51524">
              <w:rPr>
                <w:rFonts w:ascii="Book Antiqua" w:eastAsia="Calibri" w:hAnsi="Book Antiqua"/>
                <w:sz w:val="22"/>
                <w:szCs w:val="22"/>
              </w:rPr>
              <w:t>s</w:t>
            </w:r>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Section-V of Rf</w:t>
            </w:r>
            <w:r w:rsidR="00A05402" w:rsidRPr="002E6419">
              <w:rPr>
                <w:rFonts w:ascii="Book Antiqua" w:eastAsia="Calibri" w:hAnsi="Book Antiqua"/>
                <w:bCs/>
                <w:sz w:val="22"/>
                <w:szCs w:val="22"/>
              </w:rPr>
              <w:t>P</w:t>
            </w:r>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In support of Employment record, the expert shall furnish self-attested copy(ies)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Submitting these documents for the field engineers is some time difficult since they are posted on remote sites and many times field engineers do not have such documents for all the previous companies. We understand that the purpose of these documents is to ensure required minimum experience of field engineers as per RfP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w:t>
            </w:r>
            <w:r w:rsidR="00A05402" w:rsidRPr="002E6419">
              <w:rPr>
                <w:rFonts w:ascii="Book Antiqua" w:eastAsia="Calibri" w:hAnsi="Book Antiqua"/>
                <w:sz w:val="22"/>
                <w:szCs w:val="22"/>
              </w:rPr>
              <w:t>P</w:t>
            </w:r>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of Rfp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In order to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RfP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After Technical Evaluation of bids on GeM portal,  Technical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 46.1, Conditions of Contract, Section–III of RfP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46.0  PENALTY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46.1 Monthly Progress Report shall be submitted before 12th day of every month after placement of award on Consultant. In case award to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report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Further, if report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month</w:t>
            </w:r>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All design, drawing documents shall be submitted within 30 days of NoA</w:t>
            </w:r>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RfP documents are amply clear. IE shall submit its monthly progress report as per actual progress within the timeline of clause 46.0, Section-III of RfP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45.3 and 45.4.3, Conditions of Contract, Section–III of RfP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should be submitted to Employer for approval before deployment. No substitution shall be allowed without prior approval of the employer. However, in some compelling situation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found to be not suitable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Rfp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As per RFP document no documentary evidence is required for field engineers appointment by IE, neither there is any requirement in RfP for the mode of hiring the field engineers or any other expert. Depending upon the project requirement, any expert can be hired by IE through any mode i.e.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Kind request to not seek the appointment letter of experts engaged by IE. In case there is such requirement by CTUIL, we request you to kindly mention the same in the RfP</w:t>
            </w:r>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Clause 47.0, Section-III-Conditions of Contract of RfP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The Independent Engineer shall be further liable for the consequences resulting from errors and commissions due to negligence or from inadequacy on its part or on the part of its employees or associates or experts to the extent of the fees actually received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the  total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Liability of consultant shall be as per clause no. 47.1, 47.2, 47.3 of Section-III, Rfp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Clause 48.0, Section-III- Conditions of Contract, RfP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Upto 06(six) months on the same rate, terms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Reasons and Causes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Provision of Rf</w:t>
            </w:r>
            <w:r>
              <w:rPr>
                <w:rFonts w:ascii="Book Antiqua" w:eastAsia="Calibri" w:hAnsi="Book Antiqua"/>
                <w:sz w:val="22"/>
                <w:szCs w:val="22"/>
              </w:rPr>
              <w:t>P</w:t>
            </w:r>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General Terms and Conditions on GeM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of listing their product on GeM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they will supply Spare Parts, if and when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lastRenderedPageBreak/>
              <w:t xml:space="preserve">As per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General Terms and Conditions on GeM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within reasonable time period, the Buyer / Consignee shall have the right to</w:t>
            </w:r>
            <w:r w:rsidRPr="002E6419">
              <w:br w:type="page"/>
              <w:t>dispose off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Note: All the above-mentioned clarifications may be read in conjunction with already uploaded Rf</w:t>
            </w:r>
            <w:r>
              <w:rPr>
                <w:rFonts w:ascii="Book Antiqua" w:eastAsia="Calibri" w:hAnsi="Book Antiqua"/>
                <w:sz w:val="22"/>
                <w:szCs w:val="22"/>
              </w:rPr>
              <w:t>P</w:t>
            </w:r>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r w:rsidRPr="002E6419">
              <w:rPr>
                <w:rFonts w:ascii="Book Antiqua" w:eastAsia="Calibri" w:hAnsi="Book Antiqua"/>
                <w:sz w:val="22"/>
                <w:szCs w:val="22"/>
              </w:rPr>
              <w:t>GeM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even" r:id="rId8"/>
          <w:headerReference w:type="default" r:id="rId9"/>
          <w:footerReference w:type="even" r:id="rId10"/>
          <w:footerReference w:type="default" r:id="rId11"/>
          <w:headerReference w:type="first" r:id="rId12"/>
          <w:footerReference w:type="first" r:id="rId13"/>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Section-II-ToR, RfP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9231C1">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9231C1">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9231C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9231C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9231C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9231C1">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9231C1">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9231C1">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9231C1">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9231C1">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9231C1">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9231C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9231C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9231C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GeM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Clause 47.0, Section-III-Conditions of Contract of RfP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the consequences resulting from errors and commissions due to negligence or from inadequacy on its part or on the part of its employees or associates or experts to the extent of the fees actually received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due to negligence or from inadequacy on its part or on the part of its employees or associates or experts to the extent of the fees actually received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Clause 31.3, Section-III, Conditions of Contract of RfP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rules:-</w:t>
            </w:r>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an error occurring as a result of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rejected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In case of any discrepancy between the Lump Sum quoted price on the GeM portal and uploaded Price breakup by the bidder with H1 score ( as per clause No. 29 of Conditions of Contract, Section–III of RfP Documents), the Lump Sum quoted price on the GeM portal shall prevail. In such case, the Employer shall ask the bidder with H1 score for revised price breakup matching the total Lump Sum price on the GeM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In case of above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04A50685" w14:textId="77777777" w:rsidR="00D17A13" w:rsidRDefault="00D17A13" w:rsidP="008C5A1E">
      <w:pPr>
        <w:autoSpaceDE w:val="0"/>
        <w:autoSpaceDN w:val="0"/>
        <w:adjustRightInd w:val="0"/>
        <w:ind w:left="702" w:right="-64" w:hanging="702"/>
        <w:jc w:val="center"/>
        <w:rPr>
          <w:rFonts w:ascii="Book Antiqua" w:hAnsi="Book Antiqua" w:cs="Arial"/>
          <w:color w:val="000000"/>
          <w:sz w:val="22"/>
          <w:szCs w:val="22"/>
          <w:lang w:bidi="hi-IN"/>
        </w:rPr>
      </w:pPr>
    </w:p>
    <w:p w14:paraId="2C26EDC1"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4"/>
          <w:footerReference w:type="default" r:id="rId15"/>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Bidder’s Name and Address :</w:t>
            </w:r>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Name        :</w:t>
            </w:r>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Address    :</w:t>
            </w:r>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further confirm that after award of contract, key personnel who are not employees of our firm, the hiring agreement between us and the key personnel shall be submitted to CTU within 15 days from the issue of GeM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r>
        <w:rPr>
          <w:rFonts w:ascii="Book Antiqua" w:eastAsiaTheme="minorHAnsi" w:hAnsi="Book Antiqua" w:cs="Mangal"/>
          <w:sz w:val="22"/>
          <w:szCs w:val="22"/>
          <w:lang w:val="en-IN" w:bidi="hi-IN"/>
        </w:rPr>
        <w:t>RfP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RfP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Date:....................</w:t>
      </w:r>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Place:...................</w:t>
      </w:r>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holder)...................................................………..</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Person)...................................................………..</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6"/>
      <w:footerReference w:type="default" r:id="rId17"/>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2D1E" w14:textId="77777777" w:rsidR="00894DF3" w:rsidRDefault="00894DF3">
      <w:r>
        <w:separator/>
      </w:r>
    </w:p>
  </w:endnote>
  <w:endnote w:type="continuationSeparator" w:id="0">
    <w:p w14:paraId="04CE1E57" w14:textId="77777777" w:rsidR="00894DF3" w:rsidRDefault="008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200A" w14:textId="77777777" w:rsidR="009231C1" w:rsidRDefault="0092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469C" w14:textId="77777777" w:rsidR="009231C1" w:rsidRDefault="009231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5D7A" w14:textId="77777777" w:rsidR="00894DF3" w:rsidRDefault="00894DF3">
      <w:r>
        <w:separator/>
      </w:r>
    </w:p>
  </w:footnote>
  <w:footnote w:type="continuationSeparator" w:id="0">
    <w:p w14:paraId="2FC6B1B4" w14:textId="77777777" w:rsidR="00894DF3" w:rsidRDefault="0089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DFC1" w14:textId="77777777" w:rsidR="009231C1" w:rsidRDefault="00923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3B344118"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Rfp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0F6672" w:rsidRPr="000F6672">
      <w:rPr>
        <w:rFonts w:ascii="Book Antiqua" w:hAnsi="Book Antiqua"/>
        <w:lang w:val="en-IN"/>
      </w:rPr>
      <w:t>Transmission Scheme for Evacuation of 4.5GW RE injection at Khavda PS under Phase II- Part C. (Spec. No. CTUIL/IE/2023-24/09)</w:t>
    </w:r>
    <w:r w:rsidR="009231C1">
      <w:rPr>
        <w:rFonts w:ascii="Book Antiqua" w:hAnsi="Book Antiqua"/>
        <w:lang w:val="en-I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264D" w14:textId="77777777" w:rsidR="009231C1" w:rsidRDefault="00923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476B725E"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Amendment-I  Dated: 26.05.2023</w:t>
    </w:r>
    <w:r w:rsidRPr="00475974">
      <w:rPr>
        <w:rFonts w:ascii="Book Antiqua" w:hAnsi="Book Antiqua"/>
        <w:lang w:val="en-IN"/>
      </w:rPr>
      <w:t xml:space="preserve"> to </w:t>
    </w:r>
    <w:r w:rsidR="00475974" w:rsidRPr="00475974">
      <w:rPr>
        <w:rFonts w:ascii="Book Antiqua" w:hAnsi="Book Antiqua"/>
        <w:lang w:val="en-IN"/>
      </w:rPr>
      <w:t xml:space="preserve">Rfp Documents for Appointment of Independent Engineer for Transmission Scheme under </w:t>
    </w:r>
    <w:r w:rsidR="00667EE0">
      <w:rPr>
        <w:rFonts w:ascii="Book Antiqua" w:hAnsi="Book Antiqua"/>
        <w:lang w:val="en-IN"/>
      </w:rPr>
      <w:t>“</w:t>
    </w:r>
    <w:r w:rsidR="00667EE0" w:rsidRPr="000F6672">
      <w:rPr>
        <w:rFonts w:ascii="Book Antiqua" w:hAnsi="Book Antiqua"/>
        <w:lang w:val="en-IN"/>
      </w:rPr>
      <w:t>Transmission Scheme for Evacuation of 4.5GW RE injection at Khavda PS under Phase II- Part C”. (Spec. No. CTUIL/IE/2023-24/09)</w:t>
    </w:r>
  </w:p>
  <w:p w14:paraId="1CF5E91A" w14:textId="7A997AFC" w:rsidR="00195216" w:rsidRPr="00195216" w:rsidRDefault="00195216">
    <w:pPr>
      <w:pStyle w:val="Header"/>
      <w:rPr>
        <w:b/>
        <w:bCs/>
        <w:sz w:val="32"/>
        <w:szCs w:val="32"/>
        <w:lang w:val="en-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0F6672"/>
    <w:rsid w:val="00151706"/>
    <w:rsid w:val="00195216"/>
    <w:rsid w:val="001C7B3E"/>
    <w:rsid w:val="00224E93"/>
    <w:rsid w:val="00277712"/>
    <w:rsid w:val="002E6419"/>
    <w:rsid w:val="00342850"/>
    <w:rsid w:val="003531A9"/>
    <w:rsid w:val="003A5C23"/>
    <w:rsid w:val="003B71E2"/>
    <w:rsid w:val="003B7C76"/>
    <w:rsid w:val="003E5230"/>
    <w:rsid w:val="004220EC"/>
    <w:rsid w:val="00475974"/>
    <w:rsid w:val="00484767"/>
    <w:rsid w:val="0049073B"/>
    <w:rsid w:val="00545D1E"/>
    <w:rsid w:val="00597D60"/>
    <w:rsid w:val="005B49B9"/>
    <w:rsid w:val="005E76CD"/>
    <w:rsid w:val="00602819"/>
    <w:rsid w:val="006060B5"/>
    <w:rsid w:val="00620510"/>
    <w:rsid w:val="00624672"/>
    <w:rsid w:val="0065069C"/>
    <w:rsid w:val="00667EE0"/>
    <w:rsid w:val="006C0C9A"/>
    <w:rsid w:val="007237EE"/>
    <w:rsid w:val="007411BA"/>
    <w:rsid w:val="007C56BC"/>
    <w:rsid w:val="007F153D"/>
    <w:rsid w:val="008232EA"/>
    <w:rsid w:val="00892F15"/>
    <w:rsid w:val="00894DF3"/>
    <w:rsid w:val="008A7BC3"/>
    <w:rsid w:val="008C5A1E"/>
    <w:rsid w:val="009231C1"/>
    <w:rsid w:val="009332A8"/>
    <w:rsid w:val="00940261"/>
    <w:rsid w:val="00981D70"/>
    <w:rsid w:val="009D510D"/>
    <w:rsid w:val="00A05402"/>
    <w:rsid w:val="00A71436"/>
    <w:rsid w:val="00A75E29"/>
    <w:rsid w:val="00A77B3E"/>
    <w:rsid w:val="00AB7B45"/>
    <w:rsid w:val="00B027C5"/>
    <w:rsid w:val="00B07045"/>
    <w:rsid w:val="00B5423F"/>
    <w:rsid w:val="00B64E06"/>
    <w:rsid w:val="00B6689E"/>
    <w:rsid w:val="00B6780C"/>
    <w:rsid w:val="00B708CA"/>
    <w:rsid w:val="00B70AE5"/>
    <w:rsid w:val="00BA5597"/>
    <w:rsid w:val="00C2557D"/>
    <w:rsid w:val="00C5094B"/>
    <w:rsid w:val="00C637CA"/>
    <w:rsid w:val="00C7528D"/>
    <w:rsid w:val="00CA2A55"/>
    <w:rsid w:val="00CE167B"/>
    <w:rsid w:val="00CE532A"/>
    <w:rsid w:val="00CF6EA2"/>
    <w:rsid w:val="00D17A13"/>
    <w:rsid w:val="00D74787"/>
    <w:rsid w:val="00DA44A0"/>
    <w:rsid w:val="00DF69EC"/>
    <w:rsid w:val="00E20C41"/>
    <w:rsid w:val="00E51524"/>
    <w:rsid w:val="00E648B9"/>
    <w:rsid w:val="00F062B0"/>
    <w:rsid w:val="00F15B02"/>
    <w:rsid w:val="00F21E37"/>
    <w:rsid w:val="00F24272"/>
    <w:rsid w:val="00F84F97"/>
    <w:rsid w:val="00FA2BB9"/>
    <w:rsid w:val="00FA3397"/>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26</cp:revision>
  <dcterms:created xsi:type="dcterms:W3CDTF">2023-05-26T09:46:00Z</dcterms:created>
  <dcterms:modified xsi:type="dcterms:W3CDTF">2023-05-26T13:13:00Z</dcterms:modified>
</cp:coreProperties>
</file>